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081E04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>I. Quotations v. Allusions.</w:t>
      </w:r>
    </w:p>
    <w:p w14:paraId="2A7461D6" w14:textId="77777777" w:rsidR="000F1691" w:rsidRPr="000F1691" w:rsidRDefault="000F1691" w:rsidP="000F169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 xml:space="preserve">Quotation </w:t>
      </w:r>
      <w:r w:rsidRPr="009F1AB1">
        <w:rPr>
          <w:rFonts w:ascii="Times New Roman" w:hAnsi="Times New Roman" w:cs="Times New Roman"/>
        </w:rPr>
        <w:t>– A direct citation (exact wording is reproduced) of another passage.</w:t>
      </w:r>
    </w:p>
    <w:p w14:paraId="4DDA152D" w14:textId="77777777" w:rsidR="000F1691" w:rsidRPr="009F1AB1" w:rsidRDefault="000F1691" w:rsidP="000F169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 xml:space="preserve">Allusion </w:t>
      </w:r>
      <w:r w:rsidRPr="009F1AB1">
        <w:rPr>
          <w:rFonts w:ascii="Times New Roman" w:hAnsi="Times New Roman" w:cs="Times New Roman"/>
        </w:rPr>
        <w:t xml:space="preserve">– An expression dependent on and intended to refer indirectly (exact wording is </w:t>
      </w:r>
      <w:r w:rsidRPr="009F1AB1">
        <w:rPr>
          <w:rFonts w:ascii="Times New Roman" w:hAnsi="Times New Roman" w:cs="Times New Roman"/>
          <w:i/>
        </w:rPr>
        <w:t xml:space="preserve">not </w:t>
      </w:r>
      <w:r w:rsidRPr="009F1AB1">
        <w:rPr>
          <w:rFonts w:ascii="Times New Roman" w:hAnsi="Times New Roman" w:cs="Times New Roman"/>
        </w:rPr>
        <w:t>reproduced) to another passage.</w:t>
      </w:r>
    </w:p>
    <w:p w14:paraId="426B2F4C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</w:p>
    <w:p w14:paraId="2502492F" w14:textId="77777777" w:rsidR="000F1691" w:rsidRPr="000F1691" w:rsidRDefault="000F1691" w:rsidP="000F1691">
      <w:p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>III. Ways Scripture Uses Scripture.</w:t>
      </w:r>
    </w:p>
    <w:p w14:paraId="63BE49FE" w14:textId="77777777" w:rsidR="000F1691" w:rsidRPr="009F1AB1" w:rsidRDefault="000F1691" w:rsidP="000F1691">
      <w:pPr>
        <w:rPr>
          <w:rFonts w:ascii="Times New Roman" w:hAnsi="Times New Roman" w:cs="Times New Roman"/>
        </w:rPr>
      </w:pPr>
    </w:p>
    <w:p w14:paraId="16297EC6" w14:textId="77777777" w:rsidR="000F1691" w:rsidRPr="000F1691" w:rsidRDefault="000F1691" w:rsidP="000F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>Themes</w:t>
      </w:r>
      <w:r>
        <w:rPr>
          <w:rFonts w:ascii="Times New Roman" w:hAnsi="Times New Roman" w:cs="Times New Roman"/>
        </w:rPr>
        <w:t xml:space="preserve"> – </w:t>
      </w:r>
      <w:r w:rsidRPr="000F1691">
        <w:rPr>
          <w:rFonts w:ascii="Times New Roman" w:hAnsi="Times New Roman" w:cs="Times New Roman"/>
        </w:rPr>
        <w:t>Drawing on themes from other parts of scripture.</w:t>
      </w:r>
    </w:p>
    <w:p w14:paraId="50F1422D" w14:textId="77777777" w:rsidR="000F1691" w:rsidRPr="009F1AB1" w:rsidRDefault="000F1691" w:rsidP="000F1691">
      <w:pPr>
        <w:pStyle w:val="ListParagraph"/>
        <w:rPr>
          <w:rFonts w:ascii="Times New Roman" w:hAnsi="Times New Roman" w:cs="Times New Roman"/>
          <w:b/>
        </w:rPr>
      </w:pPr>
    </w:p>
    <w:p w14:paraId="5284A6CB" w14:textId="77777777" w:rsidR="000F1691" w:rsidRPr="000F1691" w:rsidRDefault="000F1691" w:rsidP="000F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“Plain” Application – </w:t>
      </w:r>
      <w:r>
        <w:rPr>
          <w:rFonts w:ascii="Times New Roman" w:hAnsi="Times New Roman" w:cs="Times New Roman"/>
        </w:rPr>
        <w:t>I</w:t>
      </w:r>
      <w:r w:rsidRPr="000F1691">
        <w:rPr>
          <w:rFonts w:ascii="Times New Roman" w:hAnsi="Times New Roman" w:cs="Times New Roman"/>
        </w:rPr>
        <w:t>ncidences of scripture using scripture that are relatively straightforward.</w:t>
      </w:r>
      <w:r>
        <w:rPr>
          <w:rFonts w:ascii="Times New Roman" w:hAnsi="Times New Roman" w:cs="Times New Roman"/>
        </w:rPr>
        <w:t xml:space="preserve"> E.g., Rom 9:6-12 (cf. Genesis).</w:t>
      </w:r>
    </w:p>
    <w:p w14:paraId="45FF898B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</w:p>
    <w:p w14:paraId="774C847E" w14:textId="77777777" w:rsidR="000F1691" w:rsidRPr="000F1691" w:rsidRDefault="000F1691" w:rsidP="000F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Indicating Direct Fulfillment – </w:t>
      </w:r>
      <w:r w:rsidRPr="000F1691">
        <w:rPr>
          <w:rFonts w:ascii="Times New Roman" w:hAnsi="Times New Roman" w:cs="Times New Roman"/>
        </w:rPr>
        <w:t>Indicating the fulfillment of a specific prediction of a passage.</w:t>
      </w:r>
      <w:r>
        <w:rPr>
          <w:rFonts w:ascii="Times New Roman" w:hAnsi="Times New Roman" w:cs="Times New Roman"/>
        </w:rPr>
        <w:t xml:space="preserve"> E.g., Mt 2:5-6 (cf. Mic 5:2).</w:t>
      </w:r>
    </w:p>
    <w:p w14:paraId="4D83BE4C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</w:p>
    <w:p w14:paraId="5228526F" w14:textId="77777777" w:rsidR="000F1691" w:rsidRPr="000F1691" w:rsidRDefault="000F1691" w:rsidP="000F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 xml:space="preserve">Analogical (or Proverbial) </w:t>
      </w:r>
      <w:r>
        <w:rPr>
          <w:rFonts w:ascii="Times New Roman" w:hAnsi="Times New Roman" w:cs="Times New Roman"/>
          <w:b/>
        </w:rPr>
        <w:t xml:space="preserve">Use – </w:t>
      </w:r>
      <w:r w:rsidRPr="000F1691">
        <w:rPr>
          <w:rFonts w:ascii="Times New Roman" w:hAnsi="Times New Roman" w:cs="Times New Roman"/>
        </w:rPr>
        <w:t>Using a passage to make a comparison or draw and analogy, emphasize the shared principle.</w:t>
      </w:r>
      <w:r>
        <w:rPr>
          <w:rFonts w:ascii="Times New Roman" w:hAnsi="Times New Roman" w:cs="Times New Roman"/>
        </w:rPr>
        <w:t xml:space="preserve"> E.g., 1 Cor 9:8-10 (cf. Deut 25:4).</w:t>
      </w:r>
    </w:p>
    <w:p w14:paraId="6FEF4A95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</w:p>
    <w:p w14:paraId="4A0D234D" w14:textId="77777777" w:rsidR="000F1691" w:rsidRPr="000F1691" w:rsidRDefault="000F1691" w:rsidP="000F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>Typology.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E.g., Davidic king typology; Mt 2:14-15 (cf. Hos 11:1); Mt 1-5.</w:t>
      </w:r>
    </w:p>
    <w:p w14:paraId="75100D79" w14:textId="77777777" w:rsidR="000F1691" w:rsidRPr="000F1691" w:rsidRDefault="000F1691" w:rsidP="000F1691">
      <w:pPr>
        <w:rPr>
          <w:rFonts w:ascii="Times New Roman" w:hAnsi="Times New Roman" w:cs="Times New Roman"/>
          <w:b/>
        </w:rPr>
      </w:pPr>
    </w:p>
    <w:p w14:paraId="03E1C642" w14:textId="77777777" w:rsidR="000F1691" w:rsidRPr="009F1AB1" w:rsidRDefault="000F1691" w:rsidP="000F1691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/>
          <w:iCs/>
          <w:shd w:val="clear" w:color="auto" w:fill="FFFFFF"/>
        </w:rPr>
      </w:pPr>
      <w:r w:rsidRPr="009F1AB1">
        <w:rPr>
          <w:rFonts w:ascii="Times New Roman" w:eastAsia="Times New Roman" w:hAnsi="Times New Roman" w:cs="Times New Roman"/>
          <w:b/>
          <w:iCs/>
          <w:shd w:val="clear" w:color="auto" w:fill="FFFFFF"/>
        </w:rPr>
        <w:t>Typology as a “prophetic paradigm”</w:t>
      </w:r>
      <w:r w:rsidRPr="009F1AB1">
        <w:rPr>
          <w:rFonts w:ascii="Times New Roman" w:eastAsia="Times New Roman" w:hAnsi="Times New Roman" w:cs="Times New Roman"/>
          <w:iCs/>
          <w:shd w:val="clear" w:color="auto" w:fill="FFFFFF"/>
        </w:rPr>
        <w:t>:</w:t>
      </w:r>
    </w:p>
    <w:p w14:paraId="077F89A7" w14:textId="77777777" w:rsidR="000F1691" w:rsidRPr="009F1AB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b/>
          <w:iCs/>
          <w:shd w:val="clear" w:color="auto" w:fill="FFFFFF"/>
        </w:rPr>
      </w:pPr>
      <w:r w:rsidRPr="009F1AB1">
        <w:rPr>
          <w:rFonts w:ascii="Times New Roman" w:eastAsia="Times New Roman" w:hAnsi="Times New Roman" w:cs="Times New Roman"/>
          <w:b/>
          <w:iCs/>
          <w:shd w:val="clear" w:color="auto" w:fill="FFFFFF"/>
        </w:rPr>
        <w:t xml:space="preserve">Type </w:t>
      </w:r>
      <w:r w:rsidRPr="009F1AB1">
        <w:rPr>
          <w:rFonts w:ascii="Times New Roman" w:eastAsia="Times New Roman" w:hAnsi="Times New Roman" w:cs="Times New Roman"/>
          <w:iCs/>
          <w:shd w:val="clear" w:color="auto" w:fill="FFFFFF"/>
        </w:rPr>
        <w:t>– A historical event, person, or institution in the storyline of scripture that serves as an anticipatory (“prophetic”) model/pattern (“paradigm”) for a greater reality (antitype) in God’s story of salvation.</w:t>
      </w:r>
    </w:p>
    <w:p w14:paraId="42D07D92" w14:textId="77777777" w:rsidR="000F1691" w:rsidRPr="000F169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b/>
          <w:iCs/>
          <w:shd w:val="clear" w:color="auto" w:fill="FFFFFF"/>
        </w:rPr>
      </w:pPr>
      <w:r w:rsidRPr="009F1AB1">
        <w:rPr>
          <w:rFonts w:ascii="Times New Roman" w:eastAsia="Times New Roman" w:hAnsi="Times New Roman" w:cs="Times New Roman"/>
          <w:b/>
          <w:iCs/>
          <w:shd w:val="clear" w:color="auto" w:fill="FFFFFF"/>
        </w:rPr>
        <w:t>Antitype</w:t>
      </w:r>
      <w:r w:rsidRPr="009F1AB1">
        <w:rPr>
          <w:rFonts w:ascii="Times New Roman" w:eastAsia="Times New Roman" w:hAnsi="Times New Roman" w:cs="Times New Roman"/>
          <w:iCs/>
          <w:shd w:val="clear" w:color="auto" w:fill="FFFFFF"/>
        </w:rPr>
        <w:t xml:space="preserve"> </w:t>
      </w:r>
      <w:r w:rsidRPr="009F1AB1">
        <w:rPr>
          <w:rFonts w:ascii="Times New Roman" w:eastAsia="Times New Roman" w:hAnsi="Times New Roman" w:cs="Times New Roman"/>
          <w:b/>
          <w:iCs/>
          <w:shd w:val="clear" w:color="auto" w:fill="FFFFFF"/>
        </w:rPr>
        <w:t xml:space="preserve">– </w:t>
      </w:r>
      <w:r w:rsidRPr="009F1AB1">
        <w:rPr>
          <w:rFonts w:ascii="Times New Roman" w:eastAsia="Times New Roman" w:hAnsi="Times New Roman" w:cs="Times New Roman"/>
          <w:iCs/>
          <w:shd w:val="clear" w:color="auto" w:fill="FFFFFF"/>
        </w:rPr>
        <w:t>That thing which is the fulfillment of the “prophetic paradigm” (typology).</w:t>
      </w:r>
    </w:p>
    <w:p w14:paraId="536E22D4" w14:textId="77777777" w:rsidR="000F1691" w:rsidRPr="000F1691" w:rsidRDefault="000F1691" w:rsidP="000F1691">
      <w:pPr>
        <w:pStyle w:val="ListParagraph"/>
        <w:ind w:left="1800"/>
        <w:rPr>
          <w:rFonts w:ascii="Times New Roman" w:eastAsia="Times New Roman" w:hAnsi="Times New Roman" w:cs="Times New Roman"/>
          <w:b/>
          <w:iCs/>
          <w:shd w:val="clear" w:color="auto" w:fill="FFFFFF"/>
        </w:rPr>
      </w:pPr>
    </w:p>
    <w:p w14:paraId="433B0239" w14:textId="77777777" w:rsidR="000F1691" w:rsidRPr="009F1AB1" w:rsidRDefault="000F1691" w:rsidP="000F1691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b/>
          <w:iCs/>
          <w:shd w:val="clear" w:color="auto" w:fill="FFFFFF"/>
        </w:rPr>
      </w:pPr>
      <w:r w:rsidRPr="009F1AB1">
        <w:rPr>
          <w:rFonts w:ascii="Times New Roman" w:hAnsi="Times New Roman" w:cs="Times New Roman"/>
          <w:b/>
        </w:rPr>
        <w:t>Components:</w:t>
      </w:r>
    </w:p>
    <w:p w14:paraId="49D10B10" w14:textId="61DB4C19" w:rsidR="000F1691" w:rsidRPr="000F169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iCs/>
          <w:shd w:val="clear" w:color="auto" w:fill="FFFFFF"/>
        </w:rPr>
      </w:pPr>
      <w:r w:rsidRPr="000F1691">
        <w:rPr>
          <w:rFonts w:ascii="Times New Roman" w:hAnsi="Times New Roman" w:cs="Times New Roman"/>
        </w:rPr>
        <w:t>Correspondence</w:t>
      </w:r>
      <w:r w:rsidR="00EC1297"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73A25427" w14:textId="50BF9C48" w:rsidR="000F1691" w:rsidRPr="000F169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iCs/>
          <w:shd w:val="clear" w:color="auto" w:fill="FFFFFF"/>
        </w:rPr>
      </w:pPr>
      <w:r w:rsidRPr="000F1691">
        <w:rPr>
          <w:rFonts w:ascii="Times New Roman" w:eastAsia="Times New Roman" w:hAnsi="Times New Roman" w:cs="Times New Roman"/>
          <w:bCs/>
          <w:bdr w:val="none" w:sz="0" w:space="0" w:color="auto" w:frame="1"/>
        </w:rPr>
        <w:t>Historicity</w:t>
      </w:r>
      <w:r w:rsidR="00EC1297">
        <w:rPr>
          <w:rFonts w:ascii="Times New Roman" w:eastAsia="Times New Roman" w:hAnsi="Times New Roman" w:cs="Times New Roman"/>
          <w:bCs/>
          <w:bdr w:val="none" w:sz="0" w:space="0" w:color="auto" w:frame="1"/>
        </w:rPr>
        <w:t>.</w:t>
      </w:r>
    </w:p>
    <w:p w14:paraId="35835939" w14:textId="77777777" w:rsidR="000F1691" w:rsidRPr="000F169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iCs/>
          <w:shd w:val="clear" w:color="auto" w:fill="FFFFFF"/>
        </w:rPr>
      </w:pPr>
      <w:r w:rsidRPr="000F1691">
        <w:rPr>
          <w:rFonts w:ascii="Times New Roman" w:eastAsia="Times New Roman" w:hAnsi="Times New Roman" w:cs="Times New Roman"/>
        </w:rPr>
        <w:t>P</w:t>
      </w:r>
      <w:r w:rsidRPr="000F1691">
        <w:rPr>
          <w:rFonts w:ascii="Times New Roman" w:eastAsia="Times New Roman" w:hAnsi="Times New Roman" w:cs="Times New Roman"/>
          <w:bCs/>
          <w:bdr w:val="none" w:sz="0" w:space="0" w:color="auto" w:frame="1"/>
        </w:rPr>
        <w:t>ointing-forwardness</w:t>
      </w:r>
      <w:r w:rsidRPr="000F1691">
        <w:rPr>
          <w:rFonts w:ascii="Times New Roman" w:eastAsia="Times New Roman" w:hAnsi="Times New Roman" w:cs="Times New Roman"/>
        </w:rPr>
        <w:t>.</w:t>
      </w:r>
    </w:p>
    <w:p w14:paraId="0B02BFB2" w14:textId="77777777" w:rsidR="000F1691" w:rsidRPr="000F169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iCs/>
          <w:shd w:val="clear" w:color="auto" w:fill="FFFFFF"/>
        </w:rPr>
      </w:pPr>
      <w:r w:rsidRPr="000F1691">
        <w:rPr>
          <w:rFonts w:ascii="Times New Roman" w:hAnsi="Times New Roman" w:cs="Times New Roman"/>
        </w:rPr>
        <w:t>Escalation.</w:t>
      </w:r>
    </w:p>
    <w:p w14:paraId="0380B6EE" w14:textId="77777777" w:rsidR="000F1691" w:rsidRPr="000F1691" w:rsidRDefault="000F1691" w:rsidP="000F1691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iCs/>
          <w:shd w:val="clear" w:color="auto" w:fill="FFFFFF"/>
        </w:rPr>
      </w:pPr>
      <w:r w:rsidRPr="000F1691">
        <w:rPr>
          <w:rFonts w:ascii="Times New Roman" w:eastAsia="Times New Roman" w:hAnsi="Times New Roman" w:cs="Times New Roman"/>
          <w:iCs/>
          <w:shd w:val="clear" w:color="auto" w:fill="FFFFFF"/>
        </w:rPr>
        <w:t>Salvation history.</w:t>
      </w:r>
    </w:p>
    <w:p w14:paraId="7BF682D4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</w:p>
    <w:p w14:paraId="3B05EBF6" w14:textId="77777777" w:rsidR="000F1691" w:rsidRPr="000F1691" w:rsidRDefault="000F1691" w:rsidP="000F169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>Fuller Sense (</w:t>
      </w:r>
      <w:r w:rsidRPr="009F1AB1">
        <w:rPr>
          <w:rFonts w:ascii="Times New Roman" w:hAnsi="Times New Roman" w:cs="Times New Roman"/>
          <w:b/>
          <w:i/>
        </w:rPr>
        <w:t>Sensus Plenior</w:t>
      </w:r>
      <w:r>
        <w:rPr>
          <w:rFonts w:ascii="Times New Roman" w:hAnsi="Times New Roman" w:cs="Times New Roman"/>
          <w:b/>
        </w:rPr>
        <w:t xml:space="preserve">) </w:t>
      </w:r>
      <w:r>
        <w:rPr>
          <w:rFonts w:ascii="Times New Roman" w:hAnsi="Times New Roman" w:cs="Times New Roman"/>
        </w:rPr>
        <w:t xml:space="preserve">– </w:t>
      </w:r>
      <w:r w:rsidRPr="000F1691">
        <w:rPr>
          <w:rFonts w:ascii="Times New Roman" w:hAnsi="Times New Roman" w:cs="Times New Roman"/>
        </w:rPr>
        <w:t>Presenting the fuller (not other) sense of passage.</w:t>
      </w:r>
      <w:r>
        <w:rPr>
          <w:rFonts w:ascii="Times New Roman" w:hAnsi="Times New Roman" w:cs="Times New Roman"/>
        </w:rPr>
        <w:t xml:space="preserve"> E.g., Gal 3:16 (cf. Gen 12:7).</w:t>
      </w:r>
    </w:p>
    <w:p w14:paraId="6D3A1A66" w14:textId="77777777" w:rsidR="000F1691" w:rsidRPr="000F1691" w:rsidRDefault="000F1691" w:rsidP="000F1691">
      <w:pPr>
        <w:rPr>
          <w:rFonts w:ascii="Times New Roman" w:hAnsi="Times New Roman" w:cs="Times New Roman"/>
          <w:b/>
        </w:rPr>
      </w:pPr>
    </w:p>
    <w:p w14:paraId="6913B9AE" w14:textId="77777777" w:rsidR="000F1691" w:rsidRPr="000F1691" w:rsidRDefault="000F1691" w:rsidP="000F169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Ironic or Inverted Use – </w:t>
      </w:r>
      <w:r w:rsidRPr="000F1691">
        <w:rPr>
          <w:rFonts w:ascii="Times New Roman" w:hAnsi="Times New Roman" w:cs="Times New Roman"/>
        </w:rPr>
        <w:t>Employing the opposite (or an inverted) meaning of a passage for ironic purposes.</w:t>
      </w:r>
      <w:r>
        <w:rPr>
          <w:rFonts w:ascii="Times New Roman" w:hAnsi="Times New Roman" w:cs="Times New Roman"/>
        </w:rPr>
        <w:t xml:space="preserve"> </w:t>
      </w:r>
      <w:r w:rsidR="00DC4EA9">
        <w:rPr>
          <w:rFonts w:ascii="Times New Roman" w:hAnsi="Times New Roman" w:cs="Times New Roman"/>
        </w:rPr>
        <w:t>E.g., 1 Cor 15:54-55 (cf. Hos 13</w:t>
      </w:r>
      <w:r>
        <w:rPr>
          <w:rFonts w:ascii="Times New Roman" w:hAnsi="Times New Roman" w:cs="Times New Roman"/>
        </w:rPr>
        <w:t>:12-14).</w:t>
      </w:r>
    </w:p>
    <w:p w14:paraId="34C74784" w14:textId="77777777" w:rsidR="000F1691" w:rsidRPr="009F1AB1" w:rsidRDefault="000F1691" w:rsidP="000F1691">
      <w:pPr>
        <w:rPr>
          <w:rFonts w:ascii="Times New Roman" w:hAnsi="Times New Roman" w:cs="Times New Roman"/>
        </w:rPr>
      </w:pPr>
    </w:p>
    <w:p w14:paraId="5C0F5DBB" w14:textId="77777777" w:rsidR="000F1691" w:rsidRPr="009F1AB1" w:rsidRDefault="000F1691" w:rsidP="000F1691">
      <w:pPr>
        <w:rPr>
          <w:rFonts w:ascii="Times New Roman" w:hAnsi="Times New Roman" w:cs="Times New Roman"/>
          <w:b/>
        </w:rPr>
      </w:pPr>
      <w:r w:rsidRPr="009F1AB1">
        <w:rPr>
          <w:rFonts w:ascii="Times New Roman" w:hAnsi="Times New Roman" w:cs="Times New Roman"/>
          <w:b/>
        </w:rPr>
        <w:t>IV. Final Thoughts.</w:t>
      </w:r>
    </w:p>
    <w:p w14:paraId="548BB369" w14:textId="77777777" w:rsidR="000F1691" w:rsidRPr="000F1691" w:rsidRDefault="000F1691" w:rsidP="000F169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0F1691">
        <w:rPr>
          <w:rFonts w:ascii="Times New Roman" w:hAnsi="Times New Roman" w:cs="Times New Roman"/>
        </w:rPr>
        <w:t>Recognize the potential complexity of scripture’s use of scripture.</w:t>
      </w:r>
    </w:p>
    <w:p w14:paraId="0E6EB33E" w14:textId="77777777" w:rsidR="000F1691" w:rsidRPr="000F1691" w:rsidRDefault="000F1691" w:rsidP="000F169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0F1691">
        <w:rPr>
          <w:rFonts w:ascii="Times New Roman" w:hAnsi="Times New Roman" w:cs="Times New Roman"/>
        </w:rPr>
        <w:t>onsider the multiple contexts—original, cited, canonical.</w:t>
      </w:r>
    </w:p>
    <w:p w14:paraId="47DEFACF" w14:textId="77777777" w:rsidR="00BB6F49" w:rsidRPr="000F1691" w:rsidRDefault="000F1691" w:rsidP="000F1691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0F1691">
        <w:rPr>
          <w:rFonts w:ascii="Times New Roman" w:hAnsi="Times New Roman" w:cs="Times New Roman"/>
        </w:rPr>
        <w:t>Recognize the implications of our method of interpretation.</w:t>
      </w:r>
    </w:p>
    <w:sectPr w:rsidR="00BB6F49" w:rsidRPr="000F1691" w:rsidSect="00BB6F49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2C0ABB" w14:textId="77777777" w:rsidR="000F1691" w:rsidRDefault="000F1691" w:rsidP="000F1691">
      <w:r>
        <w:separator/>
      </w:r>
    </w:p>
  </w:endnote>
  <w:endnote w:type="continuationSeparator" w:id="0">
    <w:p w14:paraId="3172B8DD" w14:textId="77777777" w:rsidR="000F1691" w:rsidRDefault="000F1691" w:rsidP="000F1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48B442" w14:textId="77777777" w:rsidR="000F1691" w:rsidRDefault="000F1691" w:rsidP="000F1691">
      <w:r>
        <w:separator/>
      </w:r>
    </w:p>
  </w:footnote>
  <w:footnote w:type="continuationSeparator" w:id="0">
    <w:p w14:paraId="57E5B906" w14:textId="77777777" w:rsidR="000F1691" w:rsidRDefault="000F1691" w:rsidP="000F169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372506" w14:textId="77777777" w:rsidR="000F1691" w:rsidRPr="00A34A0D" w:rsidRDefault="000F1691" w:rsidP="000F1691">
    <w:pPr>
      <w:tabs>
        <w:tab w:val="right" w:pos="8640"/>
      </w:tabs>
      <w:rPr>
        <w:rFonts w:ascii="Times New Roman" w:hAnsi="Times New Roman" w:cs="Times New Roman"/>
        <w:b/>
      </w:rPr>
    </w:pPr>
    <w:r w:rsidRPr="00A34A0D">
      <w:rPr>
        <w:rFonts w:ascii="Times New Roman" w:hAnsi="Times New Roman" w:cs="Times New Roman"/>
        <w:b/>
      </w:rPr>
      <w:t>Kirk Miller</w:t>
    </w:r>
    <w:r w:rsidRPr="00A34A0D">
      <w:rPr>
        <w:rFonts w:ascii="Times New Roman" w:hAnsi="Times New Roman" w:cs="Times New Roman"/>
        <w:b/>
      </w:rPr>
      <w:tab/>
      <w:t>Methodology</w:t>
    </w:r>
    <w:r>
      <w:rPr>
        <w:rFonts w:ascii="Times New Roman" w:hAnsi="Times New Roman" w:cs="Times New Roman"/>
        <w:b/>
      </w:rPr>
      <w:t>:</w:t>
    </w:r>
  </w:p>
  <w:p w14:paraId="2D940F01" w14:textId="77777777" w:rsidR="000F1691" w:rsidRDefault="000F1691" w:rsidP="000F1691">
    <w:pPr>
      <w:tabs>
        <w:tab w:val="right" w:pos="8640"/>
      </w:tabs>
    </w:pPr>
    <w:r>
      <w:rPr>
        <w:rFonts w:ascii="Times New Roman" w:hAnsi="Times New Roman" w:cs="Times New Roman"/>
        <w:b/>
      </w:rPr>
      <w:t>Lake Drive Core Seminars</w:t>
    </w:r>
    <w:r>
      <w:rPr>
        <w:rFonts w:ascii="Times New Roman" w:hAnsi="Times New Roman" w:cs="Times New Roman"/>
        <w:b/>
      </w:rPr>
      <w:tab/>
      <w:t xml:space="preserve">10 </w:t>
    </w:r>
    <w:r w:rsidRPr="00A34A0D">
      <w:rPr>
        <w:rFonts w:ascii="Times New Roman" w:hAnsi="Times New Roman" w:cs="Times New Roman"/>
        <w:b/>
      </w:rPr>
      <w:t xml:space="preserve">| </w:t>
    </w:r>
    <w:r>
      <w:rPr>
        <w:rFonts w:ascii="Times New Roman" w:hAnsi="Times New Roman" w:cs="Times New Roman"/>
        <w:b/>
      </w:rPr>
      <w:t>Scripture Using Scripture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62CCF"/>
    <w:multiLevelType w:val="hybridMultilevel"/>
    <w:tmpl w:val="F6A4B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C52EFD"/>
    <w:multiLevelType w:val="hybridMultilevel"/>
    <w:tmpl w:val="97564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2136EC"/>
    <w:multiLevelType w:val="hybridMultilevel"/>
    <w:tmpl w:val="3F8E8D04"/>
    <w:lvl w:ilvl="0" w:tplc="0409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3A4AB4"/>
    <w:multiLevelType w:val="hybridMultilevel"/>
    <w:tmpl w:val="35F2F3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2505E1B"/>
    <w:multiLevelType w:val="hybridMultilevel"/>
    <w:tmpl w:val="7DA0EAA2"/>
    <w:lvl w:ilvl="0" w:tplc="5AA49D70">
      <w:start w:val="16"/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6447353D"/>
    <w:multiLevelType w:val="hybridMultilevel"/>
    <w:tmpl w:val="C53651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691"/>
    <w:rsid w:val="000F1691"/>
    <w:rsid w:val="00BB6F49"/>
    <w:rsid w:val="00DC4EA9"/>
    <w:rsid w:val="00EC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EB65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6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16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691"/>
  </w:style>
  <w:style w:type="paragraph" w:styleId="Footer">
    <w:name w:val="footer"/>
    <w:basedOn w:val="Normal"/>
    <w:link w:val="FooterChar"/>
    <w:uiPriority w:val="99"/>
    <w:unhideWhenUsed/>
    <w:rsid w:val="000F16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69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69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F16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1691"/>
  </w:style>
  <w:style w:type="paragraph" w:styleId="Footer">
    <w:name w:val="footer"/>
    <w:basedOn w:val="Normal"/>
    <w:link w:val="FooterChar"/>
    <w:uiPriority w:val="99"/>
    <w:unhideWhenUsed/>
    <w:rsid w:val="000F169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1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258</Words>
  <Characters>1473</Characters>
  <Application>Microsoft Macintosh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Miller</dc:creator>
  <cp:keywords/>
  <dc:description/>
  <cp:lastModifiedBy>Kirk Miller</cp:lastModifiedBy>
  <cp:revision>3</cp:revision>
  <cp:lastPrinted>2014-11-07T21:10:00Z</cp:lastPrinted>
  <dcterms:created xsi:type="dcterms:W3CDTF">2014-11-07T17:26:00Z</dcterms:created>
  <dcterms:modified xsi:type="dcterms:W3CDTF">2014-11-07T21:13:00Z</dcterms:modified>
</cp:coreProperties>
</file>